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C2" w:rsidRDefault="00F90AAC">
      <w:pPr>
        <w:pStyle w:val="Heading1"/>
      </w:pPr>
      <w:bookmarkStart w:id="0" w:name="_gjdgxs" w:colFirst="0" w:colLast="0"/>
      <w:bookmarkEnd w:id="0"/>
      <w:r>
        <w:t>ОТВЕТСТВЕННОЕ ОТНОШЕНИЕ К ДАННЫМ – ОПРЕДЕЛЕНИЯ</w:t>
      </w:r>
    </w:p>
    <w:p w:rsidR="005034C2" w:rsidRDefault="00F90AAC">
      <w:pPr>
        <w:pStyle w:val="Heading2"/>
      </w:pPr>
      <w:bookmarkStart w:id="1" w:name="_30j0zll" w:colFirst="0" w:colLast="0"/>
      <w:bookmarkEnd w:id="1"/>
      <w:r>
        <w:t>Ключевые термины в области ответственного отношения к данным, защиты данных и информационной безопасности</w:t>
      </w:r>
    </w:p>
    <w:p w:rsidR="005034C2" w:rsidRDefault="00F90AAC">
      <w:pPr>
        <w:pStyle w:val="Heading5"/>
      </w:pPr>
      <w:bookmarkStart w:id="2" w:name="_1fob9te" w:colFirst="0" w:colLast="0"/>
      <w:bookmarkEnd w:id="2"/>
      <w:r>
        <w:t xml:space="preserve">ИЮЛЬ 2020 ГОДА </w:t>
      </w:r>
      <w:r>
        <w:br/>
      </w:r>
    </w:p>
    <w:p w:rsidR="005034C2" w:rsidRDefault="005034C2">
      <w:pPr>
        <w:rPr>
          <w:sz w:val="20"/>
          <w:szCs w:val="20"/>
        </w:rPr>
      </w:pPr>
    </w:p>
    <w:p w:rsidR="005034C2" w:rsidRDefault="00F90AAC">
      <w:pPr>
        <w:pStyle w:val="Heading2"/>
      </w:pPr>
      <w:bookmarkStart w:id="3" w:name="_3znysh7" w:colFirst="0" w:colLast="0"/>
      <w:bookmarkEnd w:id="3"/>
      <w:r>
        <w:t>Основополагающие принципы</w:t>
      </w:r>
    </w:p>
    <w:p w:rsidR="005034C2" w:rsidRDefault="00F90AAC">
      <w:pPr>
        <w:pStyle w:val="Heading3"/>
        <w:rPr>
          <w:sz w:val="27"/>
          <w:szCs w:val="27"/>
        </w:rPr>
      </w:pPr>
      <w:bookmarkStart w:id="4" w:name="_2et92p0" w:colFirst="0" w:colLast="0"/>
      <w:bookmarkEnd w:id="4"/>
      <w:r>
        <w:rPr>
          <w:sz w:val="27"/>
          <w:szCs w:val="27"/>
        </w:rPr>
        <w:t>Ответственное отношение к данным в организации Mercy Corps (Корпус милосердия)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Mercy Corps самым серьезным</w:t>
      </w:r>
      <w:r>
        <w:rPr>
          <w:sz w:val="20"/>
          <w:szCs w:val="20"/>
        </w:rPr>
        <w:t xml:space="preserve"> образом относится к вопросам обеспечения защиты персональных данных участников своих программ, своих сотрудников, посетителей и партнеров во всех странах мира. Целью</w:t>
      </w:r>
      <w:r w:rsidR="00C21B06">
        <w:rPr>
          <w:sz w:val="20"/>
          <w:szCs w:val="20"/>
          <w:lang w:val="en-US"/>
        </w:rPr>
        <w:t xml:space="preserve"> </w:t>
      </w:r>
      <w:proofErr w:type="spellStart"/>
      <w:r w:rsidR="00C21B06" w:rsidRPr="00C21B06">
        <w:rPr>
          <w:sz w:val="20"/>
          <w:szCs w:val="20"/>
          <w:lang w:val="en-US"/>
        </w:rPr>
        <w:t>Пол</w:t>
      </w:r>
      <w:bookmarkStart w:id="5" w:name="_GoBack"/>
      <w:bookmarkEnd w:id="5"/>
      <w:r w:rsidR="00C21B06" w:rsidRPr="00C21B06">
        <w:rPr>
          <w:sz w:val="20"/>
          <w:szCs w:val="20"/>
          <w:lang w:val="en-US"/>
        </w:rPr>
        <w:t>итики</w:t>
      </w:r>
      <w:proofErr w:type="spellEnd"/>
      <w:r w:rsidR="00C21B06" w:rsidRPr="00C21B06">
        <w:rPr>
          <w:sz w:val="20"/>
          <w:szCs w:val="20"/>
          <w:lang w:val="en-US"/>
        </w:rPr>
        <w:t xml:space="preserve"> </w:t>
      </w:r>
      <w:proofErr w:type="spellStart"/>
      <w:r w:rsidR="00C21B06" w:rsidRPr="00C21B06">
        <w:rPr>
          <w:sz w:val="20"/>
          <w:szCs w:val="20"/>
          <w:lang w:val="en-US"/>
        </w:rPr>
        <w:t>ответственного</w:t>
      </w:r>
      <w:proofErr w:type="spellEnd"/>
      <w:r w:rsidR="00C21B06" w:rsidRPr="00C21B06">
        <w:rPr>
          <w:sz w:val="20"/>
          <w:szCs w:val="20"/>
          <w:lang w:val="en-US"/>
        </w:rPr>
        <w:t xml:space="preserve"> </w:t>
      </w:r>
      <w:proofErr w:type="spellStart"/>
      <w:r w:rsidR="00C21B06" w:rsidRPr="00C21B06">
        <w:rPr>
          <w:sz w:val="20"/>
          <w:szCs w:val="20"/>
          <w:lang w:val="en-US"/>
        </w:rPr>
        <w:t>отношения</w:t>
      </w:r>
      <w:proofErr w:type="spellEnd"/>
      <w:r w:rsidR="00C21B06" w:rsidRPr="00C21B06">
        <w:rPr>
          <w:sz w:val="20"/>
          <w:szCs w:val="20"/>
          <w:lang w:val="en-US"/>
        </w:rPr>
        <w:t xml:space="preserve"> к </w:t>
      </w:r>
      <w:proofErr w:type="spellStart"/>
      <w:r w:rsidR="00C21B06" w:rsidRPr="00C21B06">
        <w:rPr>
          <w:sz w:val="20"/>
          <w:szCs w:val="20"/>
          <w:lang w:val="en-US"/>
        </w:rPr>
        <w:t>данным</w:t>
      </w:r>
      <w:proofErr w:type="spellEnd"/>
      <w:r w:rsidR="00C21B06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 xml:space="preserve">Mercy Corps является установление принципов прозрачного, безопасного и ответственного использования персональных данных внутри всех подразделений организации и их повседневное применение при осуществлении нашей деятельности. </w:t>
      </w:r>
    </w:p>
    <w:p w:rsidR="005034C2" w:rsidRDefault="00F90AAC">
      <w:pPr>
        <w:pStyle w:val="Heading3"/>
        <w:rPr>
          <w:sz w:val="27"/>
          <w:szCs w:val="27"/>
        </w:rPr>
      </w:pPr>
      <w:bookmarkStart w:id="6" w:name="_tyjcwt" w:colFirst="0" w:colLast="0"/>
      <w:bookmarkEnd w:id="6"/>
      <w:r>
        <w:rPr>
          <w:sz w:val="27"/>
          <w:szCs w:val="27"/>
        </w:rPr>
        <w:t>Данные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 xml:space="preserve">Любая единица информации, состоящая из букв, чисел, символов или любой комбинации вышеперечисленных элементов. Данные существуют как в цифровом, так и в физическом виде. </w:t>
      </w:r>
    </w:p>
    <w:p w:rsidR="005034C2" w:rsidRDefault="00F90AAC">
      <w:pPr>
        <w:pStyle w:val="Heading3"/>
        <w:rPr>
          <w:b w:val="0"/>
          <w:sz w:val="27"/>
          <w:szCs w:val="27"/>
        </w:rPr>
      </w:pPr>
      <w:r>
        <w:rPr>
          <w:sz w:val="27"/>
          <w:szCs w:val="27"/>
        </w:rPr>
        <w:t>Субъект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Любое физическое лицо, которое может быть идентифицировано прямо или к</w:t>
      </w:r>
      <w:r>
        <w:rPr>
          <w:sz w:val="20"/>
          <w:szCs w:val="20"/>
        </w:rPr>
        <w:t xml:space="preserve">освенно, в частности, путем ссылки на персональные данные. </w:t>
      </w:r>
    </w:p>
    <w:p w:rsidR="005034C2" w:rsidRDefault="00F90AAC">
      <w:pPr>
        <w:pStyle w:val="Heading3"/>
        <w:rPr>
          <w:sz w:val="27"/>
          <w:szCs w:val="27"/>
        </w:rPr>
      </w:pPr>
      <w:bookmarkStart w:id="7" w:name="_3dy6vkm" w:colFirst="0" w:colLast="0"/>
      <w:bookmarkEnd w:id="7"/>
      <w:r>
        <w:rPr>
          <w:sz w:val="27"/>
          <w:szCs w:val="27"/>
        </w:rPr>
        <w:t xml:space="preserve"> Персональные данные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Персональные данные, позволяющие идентифицировать личность (Personally Identifiable Information (PII)), или данные, позволяющие идентифицировать демографические признаки (Demo</w:t>
      </w:r>
      <w:r>
        <w:rPr>
          <w:sz w:val="20"/>
          <w:szCs w:val="20"/>
        </w:rPr>
        <w:t>graphically Identifiable Information (DII)), включая информацию, которая может быть использована для идентификации субъекта данных или какой-либо отдельной демографической группы. К наиболее распространенным примерам относятся имя (фамилия), адрес, номер т</w:t>
      </w:r>
      <w:r>
        <w:rPr>
          <w:sz w:val="20"/>
          <w:szCs w:val="20"/>
        </w:rPr>
        <w:t>елефона, дата рождения, номер социального страхования или государственный идентификационный номер.</w:t>
      </w:r>
    </w:p>
    <w:p w:rsidR="005034C2" w:rsidRDefault="00F90AAC">
      <w:pPr>
        <w:pStyle w:val="Heading3"/>
        <w:rPr>
          <w:sz w:val="27"/>
          <w:szCs w:val="27"/>
        </w:rPr>
      </w:pPr>
      <w:bookmarkStart w:id="8" w:name="_1t3h5sf" w:colFirst="0" w:colLast="0"/>
      <w:bookmarkEnd w:id="8"/>
      <w:r>
        <w:rPr>
          <w:sz w:val="27"/>
          <w:szCs w:val="27"/>
        </w:rPr>
        <w:t>Закрытые («чувствительные») данные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Такая информация часто используется в качестве основания для выделения какой-либо определенной группы или физического лица</w:t>
      </w:r>
      <w:r>
        <w:rPr>
          <w:sz w:val="20"/>
          <w:szCs w:val="20"/>
        </w:rPr>
        <w:t>. К наиболее распространенным примерам относятся информация о расовой принадлежности, религиозных убеждениях, политических взглядах, сексуальной ориентации, состоянии здоровья или биометрические данные.</w:t>
      </w:r>
    </w:p>
    <w:p w:rsidR="005034C2" w:rsidRDefault="00F90AAC">
      <w:pPr>
        <w:pStyle w:val="Heading3"/>
        <w:rPr>
          <w:sz w:val="27"/>
          <w:szCs w:val="27"/>
        </w:rPr>
      </w:pPr>
      <w:bookmarkStart w:id="9" w:name="_4d34og8" w:colFirst="0" w:colLast="0"/>
      <w:bookmarkEnd w:id="9"/>
      <w:r>
        <w:rPr>
          <w:sz w:val="27"/>
          <w:szCs w:val="27"/>
        </w:rPr>
        <w:t>Персональные данные, позволяющие идентифицировать лич</w:t>
      </w:r>
      <w:r>
        <w:rPr>
          <w:sz w:val="27"/>
          <w:szCs w:val="27"/>
        </w:rPr>
        <w:t>ность (PII)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Любая информация, относящаяся к идентифицированному или идентифицируемому физическому лицу (субъекту данных); идентифицируемое лицо – это лицо, которое может быть идентифицировано прямо или косвенно, в частности, на основе идентификационного но</w:t>
      </w:r>
      <w:r>
        <w:rPr>
          <w:sz w:val="20"/>
          <w:szCs w:val="20"/>
        </w:rPr>
        <w:t xml:space="preserve">мера или по одному или нескольким показателям, характерным для физической, физиологической, психической, экономической, культурной или социальной идентичности данного физического лица. </w:t>
      </w:r>
    </w:p>
    <w:p w:rsidR="005034C2" w:rsidRDefault="00F90AAC">
      <w:pPr>
        <w:pStyle w:val="Heading3"/>
        <w:rPr>
          <w:sz w:val="27"/>
          <w:szCs w:val="27"/>
        </w:rPr>
      </w:pPr>
      <w:bookmarkStart w:id="10" w:name="_2s8eyo1" w:colFirst="0" w:colLast="0"/>
      <w:bookmarkEnd w:id="10"/>
      <w:r>
        <w:rPr>
          <w:sz w:val="27"/>
          <w:szCs w:val="27"/>
        </w:rPr>
        <w:t>Данные, позволяющие идентифицировать демографические признаки (DII)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Ин</w:t>
      </w:r>
      <w:r>
        <w:rPr>
          <w:sz w:val="20"/>
          <w:szCs w:val="20"/>
        </w:rPr>
        <w:t xml:space="preserve">формация, которая может использоваться для идентификации сообщества или отдельной группы людей по географическому, этническому, религиозному, экономическому или политическому признакам. </w:t>
      </w:r>
    </w:p>
    <w:p w:rsidR="005034C2" w:rsidRDefault="00F90AAC">
      <w:pPr>
        <w:pStyle w:val="Heading3"/>
        <w:rPr>
          <w:sz w:val="27"/>
          <w:szCs w:val="27"/>
        </w:rPr>
      </w:pPr>
      <w:bookmarkStart w:id="11" w:name="_17dp8vu" w:colFirst="0" w:colLast="0"/>
      <w:bookmarkEnd w:id="11"/>
      <w:r>
        <w:rPr>
          <w:sz w:val="27"/>
          <w:szCs w:val="27"/>
        </w:rPr>
        <w:t>Оператор персональных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Физическое или юридическое лицо, государ</w:t>
      </w:r>
      <w:r>
        <w:rPr>
          <w:sz w:val="20"/>
          <w:szCs w:val="20"/>
        </w:rPr>
        <w:t>ственный орган, агентство или иной орган, которые по запросу Контролера персональных данных выполняют обработку или используют персональные данные или персональные данные, позволяющие идентифицировать личность, или данные, позволяющие идентифицировать демо</w:t>
      </w:r>
      <w:r>
        <w:rPr>
          <w:sz w:val="20"/>
          <w:szCs w:val="20"/>
        </w:rPr>
        <w:t xml:space="preserve">графические признаки. Такая деятельность производится независимо от того, кем осуществляется сбор, хранение, обработка или распространение этих данных – указанной стороной или ее представителем. </w:t>
      </w:r>
    </w:p>
    <w:p w:rsidR="005034C2" w:rsidRDefault="00F90AAC">
      <w:pPr>
        <w:pStyle w:val="Heading3"/>
        <w:rPr>
          <w:sz w:val="27"/>
          <w:szCs w:val="27"/>
        </w:rPr>
      </w:pPr>
      <w:bookmarkStart w:id="12" w:name="_3rdcrjn" w:colFirst="0" w:colLast="0"/>
      <w:bookmarkEnd w:id="12"/>
      <w:r>
        <w:rPr>
          <w:sz w:val="27"/>
          <w:szCs w:val="27"/>
        </w:rPr>
        <w:t>Контролер персональных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Физическое или юридическое лиц</w:t>
      </w:r>
      <w:r>
        <w:rPr>
          <w:sz w:val="20"/>
          <w:szCs w:val="20"/>
        </w:rPr>
        <w:t>о, которое самостоятельно или совместно с другими лицами определяет цели и средства сбора, хранения, обработки или распространения персональных данных, персональных данных, позволяющих идентифицировать личность, или данных, позволяющих идентифицировать дем</w:t>
      </w:r>
      <w:r>
        <w:rPr>
          <w:sz w:val="20"/>
          <w:szCs w:val="20"/>
        </w:rPr>
        <w:t xml:space="preserve">ографические признаки. </w:t>
      </w:r>
      <w:r>
        <w:rPr>
          <w:sz w:val="20"/>
          <w:szCs w:val="20"/>
        </w:rPr>
        <w:br/>
      </w:r>
    </w:p>
    <w:p w:rsidR="005034C2" w:rsidRDefault="00F90AAC">
      <w:pPr>
        <w:pStyle w:val="Heading2"/>
        <w:rPr>
          <w:color w:val="C8102E"/>
          <w:sz w:val="27"/>
          <w:szCs w:val="27"/>
        </w:rPr>
      </w:pPr>
      <w:bookmarkStart w:id="13" w:name="_26in1rg" w:colFirst="0" w:colLast="0"/>
      <w:bookmarkEnd w:id="13"/>
      <w:r>
        <w:t xml:space="preserve"> Подход к обработке данных</w:t>
      </w:r>
    </w:p>
    <w:p w:rsidR="005034C2" w:rsidRDefault="00F90AAC">
      <w:pPr>
        <w:rPr>
          <w:b/>
          <w:color w:val="C8102E"/>
          <w:sz w:val="27"/>
          <w:szCs w:val="27"/>
        </w:rPr>
      </w:pPr>
      <w:r>
        <w:rPr>
          <w:b/>
          <w:color w:val="C8102E"/>
          <w:sz w:val="27"/>
          <w:szCs w:val="27"/>
        </w:rPr>
        <w:t>Управление данными</w:t>
      </w:r>
      <w:r>
        <w:rPr>
          <w:b/>
          <w:color w:val="C8102E"/>
          <w:sz w:val="27"/>
          <w:szCs w:val="27"/>
        </w:rPr>
        <w:br/>
      </w:r>
      <w:r>
        <w:rPr>
          <w:sz w:val="20"/>
          <w:szCs w:val="20"/>
        </w:rPr>
        <w:t>Охватывает все направления и процессы, имеющие отношение к использованию данных. Основополагающее допущение: данные представляют собой ресурс, требующий защиты.</w:t>
      </w:r>
    </w:p>
    <w:p w:rsidR="005034C2" w:rsidRDefault="00F90AAC">
      <w:pPr>
        <w:pStyle w:val="Heading3"/>
        <w:rPr>
          <w:sz w:val="27"/>
          <w:szCs w:val="27"/>
        </w:rPr>
      </w:pPr>
      <w:bookmarkStart w:id="14" w:name="_lnxbz9" w:colFirst="0" w:colLast="0"/>
      <w:bookmarkEnd w:id="14"/>
      <w:r>
        <w:rPr>
          <w:sz w:val="27"/>
          <w:szCs w:val="27"/>
        </w:rPr>
        <w:t>Законный интерес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Юридиче</w:t>
      </w:r>
      <w:r>
        <w:rPr>
          <w:sz w:val="20"/>
          <w:szCs w:val="20"/>
        </w:rPr>
        <w:t>ское основание для обработки персональных данных. Законный интерес предполагает наличие действительной и необходимой цели для обработки данных. Законный интерес не может превалировать над правом физического лица на соблюдение конфиденциальности данных.</w:t>
      </w:r>
    </w:p>
    <w:p w:rsidR="005034C2" w:rsidRDefault="00F90AAC">
      <w:pPr>
        <w:pStyle w:val="Heading3"/>
        <w:rPr>
          <w:sz w:val="27"/>
          <w:szCs w:val="27"/>
        </w:rPr>
      </w:pPr>
      <w:bookmarkStart w:id="15" w:name="_35nkun2" w:colFirst="0" w:colLast="0"/>
      <w:bookmarkEnd w:id="15"/>
      <w:r>
        <w:rPr>
          <w:sz w:val="27"/>
          <w:szCs w:val="27"/>
        </w:rPr>
        <w:t>Мин</w:t>
      </w:r>
      <w:r>
        <w:rPr>
          <w:sz w:val="27"/>
          <w:szCs w:val="27"/>
        </w:rPr>
        <w:t>имизация объема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Подход к сбору данных: собираемые данные должны в обязательном порядке соответствовать критериям достаточности и релевантности, а также ограничиваться объемом, необходимым для обеспечения законного интереса в отношении обработки данных.</w:t>
      </w:r>
    </w:p>
    <w:p w:rsidR="005034C2" w:rsidRDefault="00F90AAC">
      <w:pPr>
        <w:pStyle w:val="Heading3"/>
        <w:rPr>
          <w:sz w:val="27"/>
          <w:szCs w:val="27"/>
        </w:rPr>
      </w:pPr>
      <w:bookmarkStart w:id="16" w:name="_1ksv4uv" w:colFirst="0" w:colLast="0"/>
      <w:bookmarkEnd w:id="16"/>
      <w:r>
        <w:rPr>
          <w:sz w:val="27"/>
          <w:szCs w:val="27"/>
        </w:rPr>
        <w:t>Обезличивание (деидентификация)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 xml:space="preserve">Любые методы или деятельность по обработке данных, позволяющие предотвратить идентификацию личности субъекта данных. Примеры: Анонимизация и псевдонимизация </w:t>
      </w:r>
    </w:p>
    <w:p w:rsidR="005034C2" w:rsidRDefault="00F90AAC">
      <w:pPr>
        <w:pStyle w:val="Heading3"/>
        <w:rPr>
          <w:sz w:val="27"/>
          <w:szCs w:val="27"/>
        </w:rPr>
      </w:pPr>
      <w:bookmarkStart w:id="17" w:name="_44sinio" w:colFirst="0" w:colLast="0"/>
      <w:bookmarkEnd w:id="17"/>
      <w:r>
        <w:rPr>
          <w:sz w:val="27"/>
          <w:szCs w:val="27"/>
        </w:rPr>
        <w:t>Анонимизация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Процесс, посредством которого персональные дан</w:t>
      </w:r>
      <w:r>
        <w:rPr>
          <w:sz w:val="20"/>
          <w:szCs w:val="20"/>
        </w:rPr>
        <w:t>ные становятся анонимными, а субъект данных больше не может быть идентифицирован.  Наиболее часто используемые методы включают удаление определенного объема персональных данных или применение ряда значений в отношении определенных наборов персональных данн</w:t>
      </w:r>
      <w:r>
        <w:rPr>
          <w:sz w:val="20"/>
          <w:szCs w:val="20"/>
        </w:rPr>
        <w:t xml:space="preserve">ых. </w:t>
      </w:r>
    </w:p>
    <w:p w:rsidR="005034C2" w:rsidRDefault="00F90AAC">
      <w:pPr>
        <w:rPr>
          <w:sz w:val="20"/>
          <w:szCs w:val="20"/>
        </w:rPr>
      </w:pPr>
      <w:r>
        <w:rPr>
          <w:b/>
          <w:color w:val="C8102E"/>
          <w:sz w:val="27"/>
          <w:szCs w:val="27"/>
        </w:rPr>
        <w:t>Псевдонимизация</w:t>
      </w:r>
      <w:r>
        <w:rPr>
          <w:sz w:val="20"/>
          <w:szCs w:val="20"/>
        </w:rPr>
        <w:br/>
        <w:t>Обработка персональных данных, после которой более невозможно установить принадлежность персональных данных конкретному субъекту данных без использования дополнительной информации при условии, что такая дополнительная информация хранит</w:t>
      </w:r>
      <w:r>
        <w:rPr>
          <w:sz w:val="20"/>
          <w:szCs w:val="20"/>
        </w:rPr>
        <w:t>ся отдельно и в отношении нее применяются технические и организационные меры, обеспечивающие невозможность установления взаимосвязи указанных данных с идентифицированным или идентифицируемым физическим лицом.</w:t>
      </w:r>
    </w:p>
    <w:p w:rsidR="005034C2" w:rsidRDefault="00F90AAC">
      <w:pPr>
        <w:pStyle w:val="Heading3"/>
        <w:rPr>
          <w:sz w:val="27"/>
          <w:szCs w:val="27"/>
        </w:rPr>
      </w:pPr>
      <w:bookmarkStart w:id="18" w:name="_2jxsxqh" w:colFirst="0" w:colLast="0"/>
      <w:bookmarkEnd w:id="18"/>
      <w:r>
        <w:rPr>
          <w:sz w:val="27"/>
          <w:szCs w:val="27"/>
        </w:rPr>
        <w:t>Информированное согласие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Любое добровольное, ко</w:t>
      </w:r>
      <w:r>
        <w:rPr>
          <w:sz w:val="20"/>
          <w:szCs w:val="20"/>
        </w:rPr>
        <w:t xml:space="preserve">нкретное и информированное выражение согласия субъекта данных в отношении сбора и обработки персональных данных, касающихся указанного субъекта. Такое согласие может предоставляться как в письменной, так и в устной форме, или каким-либо другим однозначным </w:t>
      </w:r>
      <w:r>
        <w:rPr>
          <w:sz w:val="20"/>
          <w:szCs w:val="20"/>
        </w:rPr>
        <w:t>способом, подтверждающим согласие. Согласие должно быть получено во время сбора персональных данных или в кратчайшие сроки после его проведения.</w:t>
      </w:r>
      <w:r>
        <w:rPr>
          <w:sz w:val="20"/>
          <w:szCs w:val="20"/>
        </w:rPr>
        <w:br/>
      </w:r>
    </w:p>
    <w:p w:rsidR="005034C2" w:rsidRDefault="00F90AAC">
      <w:pPr>
        <w:pStyle w:val="Heading2"/>
      </w:pPr>
      <w:bookmarkStart w:id="19" w:name="_z337ya" w:colFirst="0" w:colLast="0"/>
      <w:bookmarkEnd w:id="19"/>
      <w:r>
        <w:t>Ресурсы данных</w:t>
      </w:r>
    </w:p>
    <w:p w:rsidR="005034C2" w:rsidRDefault="00F90AAC">
      <w:pPr>
        <w:pStyle w:val="Heading3"/>
        <w:rPr>
          <w:sz w:val="27"/>
          <w:szCs w:val="27"/>
        </w:rPr>
      </w:pPr>
      <w:bookmarkStart w:id="20" w:name="_3j2qqm3" w:colFirst="0" w:colLast="0"/>
      <w:bookmarkEnd w:id="20"/>
      <w:r>
        <w:rPr>
          <w:sz w:val="27"/>
          <w:szCs w:val="27"/>
        </w:rPr>
        <w:t>Соглашение об обмене данными (Data Sharing Agreement (DSA))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Соглашение между Mercy Corps и трет</w:t>
      </w:r>
      <w:r>
        <w:rPr>
          <w:sz w:val="20"/>
          <w:szCs w:val="20"/>
        </w:rPr>
        <w:t>ьей стороной, в котором определяются условия использования персональных данных, в том числе компоненты данных, подлежащие обмену, способы их передачи, возможные варианты их использования, а также связанные с ними меры предосторожности и прочие вопросы подо</w:t>
      </w:r>
      <w:r>
        <w:rPr>
          <w:sz w:val="20"/>
          <w:szCs w:val="20"/>
        </w:rPr>
        <w:t xml:space="preserve">бного характера. </w:t>
      </w:r>
    </w:p>
    <w:p w:rsidR="005034C2" w:rsidRDefault="00F90AAC">
      <w:pPr>
        <w:pStyle w:val="Heading3"/>
        <w:rPr>
          <w:sz w:val="27"/>
          <w:szCs w:val="27"/>
        </w:rPr>
      </w:pPr>
      <w:bookmarkStart w:id="21" w:name="_1y810tw" w:colFirst="0" w:colLast="0"/>
      <w:bookmarkEnd w:id="21"/>
      <w:r>
        <w:rPr>
          <w:sz w:val="27"/>
          <w:szCs w:val="27"/>
        </w:rPr>
        <w:t>Оценка влияния на конфиденциальность (Privacy Impact Assessment (PIA))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Процесс, который используется организациями для определения и управления рисками, связанными с нарушением конфиденциальности, возникающими в связи с какой-либо новой д</w:t>
      </w:r>
      <w:r>
        <w:rPr>
          <w:sz w:val="20"/>
          <w:szCs w:val="20"/>
        </w:rPr>
        <w:t>еятельностью, например, внедрением новых программ, технологий или изменением политики.</w:t>
      </w:r>
    </w:p>
    <w:p w:rsidR="005034C2" w:rsidRDefault="00F90AAC">
      <w:pPr>
        <w:pStyle w:val="Heading3"/>
        <w:rPr>
          <w:sz w:val="27"/>
          <w:szCs w:val="27"/>
        </w:rPr>
      </w:pPr>
      <w:bookmarkStart w:id="22" w:name="_4i7ojhp" w:colFirst="0" w:colLast="0"/>
      <w:bookmarkEnd w:id="22"/>
      <w:r>
        <w:rPr>
          <w:sz w:val="27"/>
          <w:szCs w:val="27"/>
        </w:rPr>
        <w:t>Запрос доступа субъектом данных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 xml:space="preserve">Процесс, посредством которого субъект данных может запросить доступ к своим персональным данным с целью ознакомления, внесения изменений </w:t>
      </w:r>
      <w:r>
        <w:rPr>
          <w:sz w:val="20"/>
          <w:szCs w:val="20"/>
        </w:rPr>
        <w:t xml:space="preserve">или удаления персональных данных или дополнительной информации. </w:t>
      </w:r>
      <w:r>
        <w:rPr>
          <w:sz w:val="20"/>
          <w:szCs w:val="20"/>
        </w:rPr>
        <w:br/>
      </w:r>
    </w:p>
    <w:p w:rsidR="005034C2" w:rsidRDefault="00F90AAC">
      <w:pPr>
        <w:pStyle w:val="Heading2"/>
      </w:pPr>
      <w:bookmarkStart w:id="23" w:name="_2xcytpi" w:colFirst="0" w:colLast="0"/>
      <w:bookmarkEnd w:id="23"/>
      <w:r>
        <w:t>Правовая основа</w:t>
      </w:r>
    </w:p>
    <w:p w:rsidR="005034C2" w:rsidRDefault="00F90AAC">
      <w:pPr>
        <w:pStyle w:val="Heading3"/>
        <w:rPr>
          <w:sz w:val="27"/>
          <w:szCs w:val="27"/>
        </w:rPr>
      </w:pPr>
      <w:bookmarkStart w:id="24" w:name="_1ci93xb" w:colFirst="0" w:colLast="0"/>
      <w:bookmarkEnd w:id="24"/>
      <w:r>
        <w:rPr>
          <w:sz w:val="27"/>
          <w:szCs w:val="27"/>
        </w:rPr>
        <w:t>Общий регламент по защите данных (GDPR)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Общий регламент по защите данных – это регламент, являющийся частью законодательной базы ЕС и регулирующий вопросы защиты и конфиденци</w:t>
      </w:r>
      <w:r>
        <w:rPr>
          <w:sz w:val="20"/>
          <w:szCs w:val="20"/>
        </w:rPr>
        <w:t>альности данных на территории стран, которые входят в Европейский Союз, а также Европейское экономическое пространство. Общий регламент по защите данных главным образом направлен на предоставление физическим лицам возможности контролировать обработку своих</w:t>
      </w:r>
      <w:r>
        <w:rPr>
          <w:sz w:val="20"/>
          <w:szCs w:val="20"/>
        </w:rPr>
        <w:t xml:space="preserve"> персональных данных, а также на упрощение нормативно-правовой базы для международного бизнеса путем унификации правовых норм в пределах ЕС и порядка передачи данных в страны, не входящие в ЕС.</w:t>
      </w:r>
    </w:p>
    <w:p w:rsidR="005034C2" w:rsidRDefault="00F90AAC">
      <w:pPr>
        <w:pStyle w:val="Heading3"/>
        <w:rPr>
          <w:sz w:val="27"/>
          <w:szCs w:val="27"/>
        </w:rPr>
      </w:pPr>
      <w:bookmarkStart w:id="25" w:name="_3whwml4" w:colFirst="0" w:colLast="0"/>
      <w:bookmarkEnd w:id="25"/>
      <w:r>
        <w:rPr>
          <w:sz w:val="27"/>
          <w:szCs w:val="27"/>
        </w:rPr>
        <w:t>Главный специалист по защите данных (Data Protection Officer (</w:t>
      </w:r>
      <w:r>
        <w:rPr>
          <w:sz w:val="27"/>
          <w:szCs w:val="27"/>
        </w:rPr>
        <w:t>DPO))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>Согласно Статье 37 Общего регламента по защите данных организации, осуществляющие сбор или обработку персональных данных граждан ЕС, обязаны назначить и иметь в штате главного специалиста по защите данных. Указанные специалисты занимаются вопросами о</w:t>
      </w:r>
      <w:r>
        <w:rPr>
          <w:sz w:val="20"/>
          <w:szCs w:val="20"/>
        </w:rPr>
        <w:t xml:space="preserve">беспечения соблюдения организацией требований GDPR, а также внедрением передовой практики в области защиты данных и конфиденциальности. </w:t>
      </w:r>
    </w:p>
    <w:p w:rsidR="005034C2" w:rsidRDefault="00F90AAC">
      <w:pPr>
        <w:rPr>
          <w:sz w:val="20"/>
          <w:szCs w:val="20"/>
        </w:rPr>
      </w:pPr>
      <w:r>
        <w:rPr>
          <w:sz w:val="20"/>
          <w:szCs w:val="20"/>
        </w:rPr>
        <w:t xml:space="preserve">С главным специалистом по защите данных Mercy Corps Europe можно связаться по электронной почте </w:t>
      </w:r>
      <w:hyperlink r:id="rId6">
        <w:r>
          <w:rPr>
            <w:color w:val="1155CC"/>
            <w:sz w:val="20"/>
            <w:szCs w:val="20"/>
            <w:u w:val="single"/>
          </w:rPr>
          <w:t>mce-dataprotection@mercycorps.org</w:t>
        </w:r>
      </w:hyperlink>
      <w:r>
        <w:rPr>
          <w:sz w:val="20"/>
          <w:szCs w:val="20"/>
        </w:rPr>
        <w:t>. На момент составления данного документа в Mercy Corps Global отсутствует главный специалист по защите данных, но по всем интересующим Вас вопросам в области рассматриваемой проблематик</w:t>
      </w:r>
      <w:r>
        <w:rPr>
          <w:sz w:val="20"/>
          <w:szCs w:val="20"/>
        </w:rPr>
        <w:t xml:space="preserve">и можно обращаться к нашим специалистам по электронной почте </w:t>
      </w:r>
      <w:hyperlink r:id="rId7">
        <w:r>
          <w:rPr>
            <w:color w:val="1155CC"/>
            <w:sz w:val="20"/>
            <w:szCs w:val="20"/>
            <w:u w:val="single"/>
          </w:rPr>
          <w:t>dataprotection@mercycorps.org</w:t>
        </w:r>
      </w:hyperlink>
      <w:r>
        <w:rPr>
          <w:sz w:val="20"/>
          <w:szCs w:val="20"/>
        </w:rPr>
        <w:t>.</w:t>
      </w:r>
    </w:p>
    <w:p w:rsidR="005034C2" w:rsidRDefault="005034C2">
      <w:pPr>
        <w:rPr>
          <w:sz w:val="20"/>
          <w:szCs w:val="20"/>
        </w:rPr>
      </w:pPr>
    </w:p>
    <w:p w:rsidR="005034C2" w:rsidRDefault="005034C2">
      <w:pPr>
        <w:ind w:left="5040"/>
        <w:rPr>
          <w:sz w:val="20"/>
          <w:szCs w:val="20"/>
        </w:rPr>
      </w:pPr>
    </w:p>
    <w:sectPr w:rsidR="005034C2">
      <w:footerReference w:type="default" r:id="rId8"/>
      <w:footerReference w:type="first" r:id="rId9"/>
      <w:pgSz w:w="12240" w:h="15840"/>
      <w:pgMar w:top="1296" w:right="1080" w:bottom="1296" w:left="1080" w:header="720" w:footer="18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AAC" w:rsidRDefault="00F90AAC">
      <w:pPr>
        <w:spacing w:after="0" w:line="240" w:lineRule="auto"/>
      </w:pPr>
      <w:r>
        <w:separator/>
      </w:r>
    </w:p>
  </w:endnote>
  <w:endnote w:type="continuationSeparator" w:id="0">
    <w:p w:rsidR="00F90AAC" w:rsidRDefault="00F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4C2" w:rsidRDefault="00F90A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sz w:val="16"/>
        <w:szCs w:val="16"/>
      </w:rPr>
    </w:pPr>
    <w:r>
      <w:rPr>
        <w:b/>
        <w:color w:val="C8102E"/>
        <w:sz w:val="16"/>
        <w:szCs w:val="16"/>
      </w:rPr>
      <w:t xml:space="preserve">MERCY CORPS </w:t>
    </w:r>
    <w:r>
      <w:rPr>
        <w:b/>
        <w:sz w:val="16"/>
        <w:szCs w:val="16"/>
      </w:rPr>
      <w:t xml:space="preserve">Ответственное отношение к данным: </w:t>
    </w:r>
    <w:r>
      <w:rPr>
        <w:sz w:val="16"/>
        <w:szCs w:val="16"/>
      </w:rPr>
      <w:t xml:space="preserve">Определения  </w:t>
    </w:r>
    <w:r>
      <w:rPr>
        <w:b/>
        <w:noProof/>
        <w:sz w:val="16"/>
        <w:szCs w:val="16"/>
      </w:rPr>
      <w:drawing>
        <wp:inline distT="0" distB="0" distL="0" distR="0">
          <wp:extent cx="33148" cy="82296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90977" b="70535"/>
                  <a:stretch>
                    <a:fillRect/>
                  </a:stretch>
                </pic:blipFill>
                <pic:spPr>
                  <a:xfrm>
                    <a:off x="0" y="0"/>
                    <a:ext cx="33148" cy="8229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4C2" w:rsidRDefault="00F90A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4C515A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5147945</wp:posOffset>
          </wp:positionH>
          <wp:positionV relativeFrom="paragraph">
            <wp:posOffset>-429892</wp:posOffset>
          </wp:positionV>
          <wp:extent cx="1362456" cy="484632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39" r="340"/>
                  <a:stretch>
                    <a:fillRect/>
                  </a:stretch>
                </pic:blipFill>
                <pic:spPr>
                  <a:xfrm>
                    <a:off x="0" y="0"/>
                    <a:ext cx="1362456" cy="4846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AAC" w:rsidRDefault="00F90AAC">
      <w:pPr>
        <w:spacing w:after="0" w:line="240" w:lineRule="auto"/>
      </w:pPr>
      <w:r>
        <w:separator/>
      </w:r>
    </w:p>
  </w:footnote>
  <w:footnote w:type="continuationSeparator" w:id="0">
    <w:p w:rsidR="00F90AAC" w:rsidRDefault="00F90A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4C2"/>
    <w:rsid w:val="005034C2"/>
    <w:rsid w:val="00C21B06"/>
    <w:rsid w:val="00F9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CB0E7"/>
  <w15:docId w15:val="{E1714A3C-938C-42E1-AB37-EF6CE269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4D525A"/>
        <w:sz w:val="21"/>
        <w:szCs w:val="21"/>
        <w:lang w:val="ru-RU" w:eastAsia="en-US" w:bidi="ar-SA"/>
      </w:rPr>
    </w:rPrDefault>
    <w:pPrDefault>
      <w:pPr>
        <w:spacing w:after="28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80" w:after="140" w:line="216" w:lineRule="auto"/>
      <w:outlineLvl w:val="0"/>
    </w:pPr>
    <w:rPr>
      <w:b/>
      <w:color w:val="C8102E"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40" w:line="228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after="100" w:line="228" w:lineRule="auto"/>
      <w:outlineLvl w:val="2"/>
    </w:pPr>
    <w:rPr>
      <w:b/>
      <w:color w:val="C8102E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after="100" w:line="228" w:lineRule="auto"/>
      <w:outlineLvl w:val="4"/>
    </w:pPr>
    <w:rPr>
      <w:smallCaps/>
      <w:color w:val="94979C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b/>
      <w:color w:val="868A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100" w:line="192" w:lineRule="auto"/>
    </w:pPr>
    <w:rPr>
      <w:b/>
      <w:smallCaps/>
      <w:color w:val="C8102E"/>
      <w:sz w:val="64"/>
      <w:szCs w:val="64"/>
    </w:rPr>
  </w:style>
  <w:style w:type="paragraph" w:styleId="Subtitle">
    <w:name w:val="Subtitle"/>
    <w:basedOn w:val="Normal"/>
    <w:next w:val="Normal"/>
    <w:uiPriority w:val="11"/>
    <w:qFormat/>
    <w:pPr>
      <w:spacing w:after="120" w:line="216" w:lineRule="auto"/>
    </w:pPr>
    <w:rPr>
      <w:rFonts w:ascii="Times" w:eastAsia="Times" w:hAnsi="Times" w:cs="Times"/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dataprotection@mercycorps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ce-dataprotection@mercycorps.or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1242</Words>
  <Characters>7082</Characters>
  <Application>Microsoft Office Word</Application>
  <DocSecurity>0</DocSecurity>
  <Lines>59</Lines>
  <Paragraphs>16</Paragraphs>
  <ScaleCrop>false</ScaleCrop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Heather Love</cp:lastModifiedBy>
  <cp:revision>2</cp:revision>
  <dcterms:created xsi:type="dcterms:W3CDTF">2020-12-21T20:46:00Z</dcterms:created>
  <dcterms:modified xsi:type="dcterms:W3CDTF">2020-12-21T20:46:00Z</dcterms:modified>
</cp:coreProperties>
</file>